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459</w:t>
      </w:r>
    </w:p>
    <w:p>
      <w:r>
        <w:t>Bundesgericht (BGE), 2015-11-10, FR</w:t>
      </w:r>
    </w:p>
    <w:p>
      <w:r>
        <w:rPr>
          <w:b/>
        </w:rPr>
        <w:t xml:space="preserve">Quelle: </w:t>
      </w:r>
      <w:r>
        <w:t>https://mcp.opencaselaw.ch/entscheid/bge_141 IV 459</w:t>
      </w:r>
    </w:p>
    <w:p>
      <w:r>
        <w:t>FR: ATF 141 IV 459</w:t>
      </w:r>
    </w:p>
    <w:p>
      <w:r>
        <w:t>IT: DTF 141 IV 459</w:t>
      </w:r>
    </w:p>
    <w:p>
      <w:pPr>
        <w:pStyle w:val="Heading2"/>
      </w:pPr>
      <w:r>
        <w:t>Regeste</w:t>
      </w:r>
    </w:p>
    <w:p>
      <w:r>
        <w:t>Regeste Art. 269 Abs. 1 und Art. 278 Abs. 1 StPO; Verwendung von Zufallsfunden. Damit Zufallsfunde aus einer bereits gesetzeskonform genehmigten Telefonüberwachung verwendet werden können, müssen - gemäss Art. 278 Abs. 1 StPO - die Voraussetzungen von Art. 269 Abs. 1 lit. a-c StPO erfüllt sein. Insbesondere muss die neu entdeckte mutmassliche Straftat unter den Katalog von Art. 269 Abs. 2 StPO fallen. Soweit die genehmigte Überwachung bereits durchgeführt wurde, dürfen die daraus resultierenden Zufallsfunde bei der Prüfung des dringenden Tatverdachts der neu entdeckten Straftat berücksichtigt werden (Art. 269 Abs. 1 lit. a StPO) (E. 4.1).</w:t>
      </w:r>
    </w:p>
    <w:p>
      <w:pPr>
        <w:pStyle w:val="Heading2"/>
      </w:pPr>
      <w:r>
        <w:t>Erwägungen</w:t>
      </w:r>
    </w:p>
    <w:p>
      <w:r>
        <w:rPr>
          <w:b/>
        </w:rPr>
        <w:t>E. 3</w:t>
      </w:r>
    </w:p>
    <w:p>
      <w:r>
        <w:t>(...)</w:t>
      </w:r>
    </w:p>
    <w:p>
      <w:r>
        <w:rPr>
          <w:b/>
        </w:rPr>
        <w:t>E. 3.1</w:t>
      </w:r>
    </w:p>
    <w:p>
      <w:r>
        <w:t>Aux termes de l' art. 278 al. 1 CPP ,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L'alinéa 3 de cette disposition précise que, dans les cas visés aux alinéas précédents, le ministère public ordonne immédiatement la surveillance et engage la procédure d'autorisation. Le sort des informations et des documents qui ne peuvent être utilisés au titre de découvertes fortuites doivent BGE 141 IV 459 S. 461 être conservés séparément et détruits immédiatement après la clôture de la procédure ( art. 278 al. 4 CPP ). (...)</w:t>
      </w:r>
    </w:p>
    <w:p>
      <w:r>
        <w:rPr>
          <w:b/>
        </w:rPr>
        <w:t>E. 4</w:t>
      </w:r>
    </w:p>
    <w:p>
      <w:r>
        <w:t>Le recourant reproche à l'autorité précédente des violations des art. 269 et 278 CPP . Il soutient en substance que les possibles faits qu'il n'aurait pas dénoncés ne seraient pas constitutifs de comportements pénalement répréhensibles, ne pouvant ainsi lui être reproché d'avoir entravé l'action pénale. Dans la mesure où tel serait cependant le cas, le recourant prétend qu'une mesure de surveillance téléphonique n'aurait pas été justifiée par les circonstances d'espèce notamment eu égard aux principes de proportionnalité et de subsidiarité.</w:t>
      </w:r>
    </w:p>
    <w:p>
      <w:r>
        <w:rPr>
          <w:b/>
        </w:rPr>
        <w:t>E. 4.1</w:t>
      </w:r>
    </w:p>
    <w:p>
      <w:r>
        <w:t>Selon l' art. 269 al. 1 CPP - auquel renvoie l' art. 278 al. 1 CPP -, le ministère public peut ordonner la surveillance de la correspondance par poste et télécommunication aux conditions suivantes: de graves soupçons laissent présumer que l'une des infractions visées à l'alinéa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 art. 269 al. 2 CPP peuvent justifier une surveillance; parmi celles-ci figure l'entrave à l'action pénale ( art. 305 CP ). Lors de l'examen de l'existence d'un grave soupçon ( art. 269 al. 1 let. a CPP ),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(arrêt 1B_230/2013 du 26 juillet 2013 consid. 5.1.1 et les arrêts cités). En cas de découverte fortuite, il y a lieu de tenir compte du fait que la surveillance a d'ores et déjà été exécutée, les découvertes pouvant en conséquence être prises en compte lors de cet examen (cf. le renvoi de l' art. 278 al. 1 CPP ; THOMAS HANSJAKOB, in Kommentar zur Schweizerischen Strafprozessordnung [StPO],Donatsch/Hansjakob/Lieber [éd.], 2 e éd. 2014, n° 10 ad art. 278 CPP ). En vertu du principe de proportionnalité ( art. 269 al. 1 let. b CPP ), la mesure doit être adéquate et poursuivre un intérêt public; elle ne peut être ordonnée que si elle peut mener à des résultats concrets BGE 141 IV 459 S. 462 (HANSJAKOB, op. cit., n os 22 s. ad art. 269 CPP ; MOREILLON/PAREIN-REYMOND, CPP, Code de procédure pénale, 2013, n° 7 ad art. 269 CPP ; ZUFFEREY/BACHER, in Commentaire romand, Code de procédure pénale suisse, 2011, n os 11 ss ad art. 269 CPP ). Les circonstances d'espèce sont dès lors déterminantes pour examiner la gravité de l'infraction; à cet égard, il n'est pas en soi suffisant que celle-ci figure dans le catalogue de l' art. 269 al. 2 CPP (MARC JEAN-RICHARD-DIT-BRESSEL, in Basler Kommentar, Schweizerische Strafprozessordnung, 2 e éd. 2014, n° 47 ad art. 269 CPP ; HANSJAKOB, op. cit., n os 22 s. ad art. 269 CPP ; NIKLAUS SCHMID, Schweizerische Strafprozessordnung [StPO], Praxiskommentar, 2 e éd. 2013, n os</w:t>
      </w:r>
    </w:p>
    <w:p>
      <w:r>
        <w:rPr>
          <w:b/>
        </w:rPr>
        <w:t>E. 4.2</w:t>
      </w:r>
    </w:p>
    <w:p>
      <w:r>
        <w:t>Aux termes de l' art. 305 al. 1 CP , celui qui aura soustrait une personne à une poursuite pénale ou à l'exécution d'une peine ou d'une des mesures prévues aux art. 59-61, 63 et 64 sera puni d'une peine privative de liberté de trois ans au plus ou d'une peine pécuniaire. Le bien juridique protégé par cette disposition est le bon fonctionnement de la justice, soit un intérêt collectif (arrêt 1B_182/2014 du 21 mai 2014 consid. 2.2 et les références citées). La personne favorisée doit être pénalement punissable (personne physique ou morale; TRECHSEL/AFFOLTER-EIJSTEN, in Schweizerisches Strafgesetzbuch, Praxiskommentar, Trechsel/Pieth [éd.], 2 e éd. 2013, n os 2 s. ad art. 305 CP ; DUPUIS ET AL., CP, Code pénal, 2012, n° 6 ad art. 305 CP ; BERNARD CORBOZ, Les infractions de droit suisse, vol. II, 3 e éd. 2010, n os 5 ss ad art. 305 CP ). La question de sa culpabilité, respectivement de son innocence, est toutefois sans pertinence BGE 141 IV 459 S. 463 ( ATF 104 IV 238 consid. 1e p. 242); il est en effet du ressort des autorités pénales du fond de statuer sur cette question (DUPUIS ET AL., op. cit., n° 7 ad art. 305 CP ; CORBOZ, op. cit., n° 12 ad art. 305 CP ). La soustraction présuppose que l'auteur a empêché une action de l'autorité dans le cours d'une procédure pénale au moins durant un certain temps ( ATF 129 IV 138 consid. 2.1 p. 140). La soustraction peut aussi se faire par une abstention, à la condition que l'auteur ait une obligation juridique d'agir en raison d'une position de garant; n'importe quelle obligation ne suffit pas, la personne en cause devant avoir un devoir de protection ou de surveillance ( ATF 123 IV 70 consid. 2 p. 72 s.; ATF 120 IV 98 consid. 2c p. 106). Tel est le cas de celui qui a une obligation particulière de collaborer à l'administration de la justice pénale, notamment en raison de sa fonction (cf. art. 302 al. 1 CPP ; ATF 120 IV 98 consid. 2c p. 106; DELNON/RÜDY, in Basler Kommentar, Strafrecht, vol. II, 3 e éd. 2013, n° 25 ad art. 305 CP ; CORBOZ, op. cit., n os 34 ss ad art. 305 CP ), comme par exemple un garde-chasse ( ATF 74 IV 164 ) ou un policier ( ATF 109 IV 46 consid. 3 p. 48). La notion de poursuite pénale n'est pas délimitée en fonction de l'infraction en cause; il peut donc aussi s'agir d'une poursuite pour une simple contravention (DELNON/RÜDY, op. cit., n° 27 ad art. 305 CP ; STRATENWERTH/BOMMER, Schweizerisches Strafrecht, Besonderer Teil II: Straftaten gegen Gemeininteressen, 7 e éd. 2013, n° 6 p. 398; CORBOZ, op. cit., n° 18 ad art. 305 CP ). Dans cette situation, le juge devrait cependant tenir compte de la gravité de l'infraction commise par la personne favorisée pour apprécier la faute dans le cadre général de la fixation de la peine ( art. 47 CP ; STRATENWERTH/BOMMER, op. cit., n° 18 p. 404; FAVRE/PELLET/STOUDMANN, Code pénal, 3 e éd. 2011, n° 1.5 ad art. 305 CP ; CORBOZ, op. cit., n° 44 ad art. 305 CP ). L'infraction d'entrave ne devrait ainsi pas être punie plus sévèrement que le serait la personne favorisée (DELNON/RÜDY, op. cit., n° 27 ad art. 305 CP , auteurs qui relèvent toutefois qu'une peine plus sévère peut aussi se justifier au regard de l'importance du bien juridique protégé par l' art. 305 CP ).</w:t>
      </w:r>
    </w:p>
    <w:p>
      <w:r>
        <w:rPr>
          <w:b/>
        </w:rPr>
        <w:t>E. 4.3</w:t>
      </w:r>
    </w:p>
    <w:p>
      <w:r>
        <w:t>Lors de l'examen des conditions de l' art. 269 CPP , la cour cantonale a confirmé l'existence de graves soupçons d'une infraction à l' art. 305 CP au regard des propos tenus par le recourant lors de ses conversations téléphoniques; ainsi, trois tirs accidentels lui avaient été annoncés, comportements pouvant être constitutifs de contraventions à la loi fédérale du 20 juin 1986 sur la chasse et la protection BGE 141 IV 459 S. 464 des mammifères et oiseaux sauvages (LChP; RS 922.0), et il lui appartenait alors de les dénoncer, ce qu'il n'avait pas fait. L'autorité précédente a ensuite relevé l'intérêt public (recherche de la vérité), l'importance du bien juridique protégé (fonctionnement de la justice), la systématique du comportement adopté (trois suspicions d'infractions en huit jours), l'absence de trace écrite (notamment en raison des instructions du recourant) et les mobiles a priori égoïstes de l'auteur présumé (pour "services rendus"). Selon la juridiction attaquée, le principe de subsidiarité était également respecté au regard de l'absence de possibles autres mesures moins incisives; il n'était en particulier pas envisageable de compter sur la collaboration de tierces personnes, notamment quand celles-ci pourraient être mises en cause pour des infractions à la LChP et faisaient partie du même milieu que l'intéressé. Ce raisonnement ne prête pas le flanc à la critique. A cela s'ajoute la qualité de garde-chasse du recourant. Ainsi, ce dernier a de par la loi l'obligation de dénoncer des comportements susceptibles d'entraîner une poursuite pénale (cf. art. 27 al. 1 let . e et art. 28 al. 1 let . e de la loi cantonale du 30 janvier 1991 sur la chasse et la protection des mammifères et oiseaux sauvages [LcChP; RS/VS 922.1]). Ce devoir perdure d'ailleurs même en dehors de son temps de travail (cf. art. 13 al. 5 du règlement d'exécution de la loi sur la chasse du 15 juin 2011 [RS/VS 922.100; ci-après: le règlement]). Au vu de ce statut particulier et des obligations en découlant - notamment quant à la protection de la faune -, la possible entrave pénale qui pourrait être reprochée au recourant n'en paraît dès lors que plus grave; cela vaut d'autant plus qu'elle semble de surcroît avoir été réitérée à au moins trois reprises. L'importance de la gravité résulte également de la qualité des personnes "protégées" (garde-chasse auxiliaire, policier et épouse d'un collègue), ainsi que du motif invoqué pour justifier l'absence de dénonciation ("services rendus"). Or, il n'appartient pas au recourant de choisir quel(s) acte(s) et/ou quelle(s) personne(s) il entend dénoncer. Les deux éléments susmentionnés permettent aussi de penser que des passe-droits auraient été accordés entre personnes censées pourtant oeuvrer au bon fonctionnement de la justice. Certes, au vu de la systématique entre la LChP, la LcChP et son règlement, les actes annoncés au prévenu pourraient ne pas entraîner de poursuite pénale (cf. notamment l' art. 42 al. 3 let . d du règlement: tir accidentel d'un faon de chevreuil entraînant une taxe forfaitaire [Pauschalbetrag] et pas une amende [Busse] telle que prévue par BGE 141 IV 459 S. 465 exemple à la lettre f de cette même disposition). En retenant toutefois une possible application de la disposition pénale prévue par la loi fédérale ( art. 17 al. 1 let. a et al. 2 LChP - tirs par négligence d'espèces protégées), la cour cantonale ne procède pas à une interprétation arbitraire du droit cantonal puisqu'elle statue, à ce stade de la procédure, sous l'angle de la vraisemblance; il appartiendra au juge du fond de se prononcer sur cette question, autorité devant laquelle le recourant pourra, le cas échéant, faire valoir ses moyens au fond. Dans le cadre de son appréciation des preuves, la juridiction précédente n'avait pas non plus à tenir compte des éléments que l'instruction a peut-être permis de mettre en évidence postérieurement; seules prévalaient les circonstances qui existaient au moment où le Tmc a statué ( ATF 140 IV 40 consid. 4.2 p. 43). Les griefs relatifs à une appréciation arbitraire des preuves - en particulier ceux tenant compte des auditions entreprises en février 2015 - peuvent ainsi être rejetés. Partant, le Juge unique pouvait, sans violer le droit fédéral, confirmer l'utilisation des éléments découverts fortuitement au cours de la surveillance téléphonique mise en oeuvre à l'encontre du recourant dans la procédure z.</w:t>
      </w:r>
    </w:p>
    <w:p>
      <w:r>
        <w:rPr>
          <w:b/>
        </w:rPr>
        <w:t>E. 8</w:t>
      </w:r>
    </w:p>
    <w:p>
      <w:r>
        <w:t>s. ad art. 269 CPP ; MOREILLON/PAREIN-REYMOND, op. cit., n° 7 ad art. 269 CPP ). La surveillance peut ainsi être mise en oeuvre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(ZUFFEREY/ BACHER, op. cit., n° 14 ad art. 269 CPP ). Une surveillance ne peut encore être autorisée que si elle respecte le principe de subsidiarité ( art. 269 al. 1 let . c CPP; JEAN-RICHARD-DIT-BRESSEL, op. cit., n os 41 ss ad art. 269 CPP ; MOREILLON/PAREIN-REYMOND, op. cit., n° 8 ad art. 269 CPP ). Celui-ci présuppose notamment que l'autorité examine d'abord si une autre mesure moins incisive peut atteindre le résultat recherché (ultima ratio; HANSJAKOB, op. cit., n os 24 ss ad art. 269 CPP ; MOREILLON/PAREIN-REYMOND, op. cit., n° 8 ad art. 269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